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714</w:t>
      </w:r>
    </w:p>
    <w:p>
      <w:r>
        <w:t>Bundesgericht (BGE), 2012-10-16, DE</w:t>
      </w:r>
    </w:p>
    <w:p>
      <w:r>
        <w:rPr>
          <w:b/>
        </w:rPr>
        <w:t xml:space="preserve">Quelle: </w:t>
      </w:r>
      <w:r>
        <w:t>https://mcp.opencaselaw.ch/entscheid/bge_138 III 714</w:t>
      </w:r>
    </w:p>
    <w:p>
      <w:r>
        <w:t>FR: ATF 138 III 714</w:t>
      </w:r>
    </w:p>
    <w:p>
      <w:r>
        <w:t>IT: DTF 138 III 714</w:t>
      </w:r>
    </w:p>
    <w:p>
      <w:pPr>
        <w:pStyle w:val="Heading2"/>
      </w:pPr>
      <w:r>
        <w:t>Regeste</w:t>
      </w:r>
    </w:p>
    <w:p>
      <w:r>
        <w:t>Regeste Parteifähigkeit in internationalen Schiedsverfahren mit Sitz in der Schweiz; Einfluss des Konkurses auf die Gültigkeit der Schiedsvereinbarung (Art. 178 Abs. 2 IPRG). Bestimmung der Parteifähigkeit in einem Schiedsverfahren nach dem 12. Kapitel IPRG (E. 3.3); Parteifähigkeit einer portugiesischen Konkursmasse (E. 3.4) und deren Bindung an die Schiedsvereinbarung (E. 3.6).</w:t>
      </w:r>
    </w:p>
    <w:p>
      <w:pPr>
        <w:pStyle w:val="Heading2"/>
      </w:pPr>
      <w:r>
        <w:t>Erwägungen</w:t>
      </w:r>
    </w:p>
    <w:p>
      <w:r>
        <w:rPr>
          <w:b/>
        </w:rPr>
        <w:t>E. 4</w:t>
      </w:r>
    </w:p>
    <w:p>
      <w:r>
        <w:t>Die Beschwerdeführerin rügt sodann, die Vorinstanz habe Art. 87 Abs. 1 p-IG zu Unrecht nicht als loi d'application immédiate (Eingriffsnorm) angewendet und damit die Gültigkeit der Schiedsvereinbarung gegenüber der Beschwerdeführerin zu Unrecht bejaht.</w:t>
      </w:r>
    </w:p>
    <w:p>
      <w:r>
        <w:rPr>
          <w:b/>
        </w:rPr>
        <w:t>E. 4.1</w:t>
      </w:r>
    </w:p>
    <w:p>
      <w:r>
        <w:t>Das Bundesgericht hat die Frage, ob und inwieweit ein Schiedsgericht bei der Beurteilung der Gültigkeit der Schiedsvereinbarung BGE 138 III 714 S. 727 drittstaatliche Eingriffsnormen zu berücksichtigen hat, bisher noch nie beurteilt. Auch der vorliegende Fall gibt keinen Anlass, diese Frage in allgemeiner Weise zu beantworten, weist doch Art. 87 Abs. 1 p-IG klarerweise nicht den Charakter einer Eingriffsnorm auf:</w:t>
      </w:r>
    </w:p>
    <w:p>
      <w:r>
        <w:rPr>
          <w:b/>
        </w:rPr>
        <w:t>E. 4.2</w:t>
      </w:r>
    </w:p>
    <w:p>
      <w:r>
        <w:t>Als Eingriffsnorm müsste Art. 87 Abs. 1 p-IG vom portugiesischen Gesetzgeber unter anderem mit einem international zwingenden Anwendungswillen (KAUFMANN-KOHLER/RIGOZZI, a.a.O., N. 663; KAUFMANN-KOHLER/LÉVY/SACCO, a.a.O., S. 385) und einem strikt zwingenden Charakter (POUDRET/BESSON, a.a.O., N. 706) versehen worden sein. Wie das Schiedsgericht zutreffend ausführte, ist ein solcher Anwendungswille in Art. 87 Abs. 1 p-IG indessen gerade nicht zu erkennen. Hätte nämlich der portugiesische Gesetzgeber Art. 87 Abs. 1 p-IG mit international zwingendem Anwendungswillen ausstatten wollen, hätte er kaum einen ausdrücklichen Vorbehalt von internationalem Recht in den Normtext aufgenommen. Dies vermag auch die Beschwerdeführerin mit dem blossen Einwand, Völkerrecht stehe stets über Landesrecht, nicht in Frage zu stellen. Die Beschwerdegegnerin wendet sodann zutreffend ein, dass Art. 87 Abs. 1 p-IG nicht einmal eine zwingende Norm ist, können doch gemäss Art. 192 Abs. 1 p-IG die Bestimmungen des portugiesischen Insolvenzgesetzes in einem Nachlassplan, dem alle Gläubiger zugestimmt haben, abbedungen werden. Art. 87 Abs. 1 p-IG weist folglich keinen zwingenden Charakter auf, was auch die Beschwerdeführerin in ihrer Replik nicht bestreitet. Die Vorinstanz hat Art. 87 Abs. 1 p-IG zu Recht nicht als loi d'application immédiate qualifiziert. Die Rüge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